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4062F05C" w14:textId="7CD768A3" w:rsidR="00097E5E" w:rsidRPr="005D1830" w:rsidRDefault="00097E5E" w:rsidP="00097E5E">
      <w:pPr>
        <w:tabs>
          <w:tab w:val="left" w:pos="7672"/>
        </w:tabs>
        <w:ind w:left="567" w:right="59"/>
        <w:jc w:val="right"/>
        <w:rPr>
          <w:rFonts w:ascii="Times New Roman" w:eastAsia="Times New Roman" w:hAnsi="Times New Roman" w:cs="Times New Roman"/>
          <w:i/>
          <w:iCs/>
        </w:rPr>
      </w:pPr>
      <w:r w:rsidRPr="005D1830">
        <w:rPr>
          <w:rFonts w:ascii="Times New Roman" w:eastAsia="Times New Roman" w:hAnsi="Times New Roman" w:cs="Times New Roman"/>
          <w:i/>
          <w:iCs/>
        </w:rPr>
        <w:t xml:space="preserve">Załącznik nr </w:t>
      </w:r>
      <w:r>
        <w:rPr>
          <w:rFonts w:ascii="Times New Roman" w:eastAsia="Times New Roman" w:hAnsi="Times New Roman" w:cs="Times New Roman"/>
          <w:i/>
          <w:iCs/>
        </w:rPr>
        <w:t>4</w:t>
      </w:r>
    </w:p>
    <w:p w14:paraId="038EECFF" w14:textId="0B060EE1" w:rsidR="00B461B0" w:rsidRDefault="00097E5E" w:rsidP="00097E5E">
      <w:pPr>
        <w:tabs>
          <w:tab w:val="left" w:pos="7672"/>
        </w:tabs>
        <w:ind w:left="567" w:right="59"/>
        <w:jc w:val="right"/>
        <w:rPr>
          <w:rFonts w:ascii="Times New Roman" w:eastAsia="Times New Roman" w:hAnsi="Times New Roman" w:cs="Times New Roman"/>
          <w:i/>
          <w:iCs/>
        </w:rPr>
      </w:pPr>
      <w:r w:rsidRPr="005D1830">
        <w:rPr>
          <w:rFonts w:ascii="Times New Roman" w:eastAsia="Times New Roman" w:hAnsi="Times New Roman" w:cs="Times New Roman"/>
          <w:i/>
          <w:iCs/>
        </w:rPr>
        <w:t>do Regulaminu wyboru Grantobiorców oraz realizacji Projektu grantowego</w:t>
      </w:r>
    </w:p>
    <w:p w14:paraId="354149FB" w14:textId="77777777" w:rsidR="00BE2926" w:rsidRDefault="00BE2926" w:rsidP="00097E5E">
      <w:pPr>
        <w:tabs>
          <w:tab w:val="left" w:pos="7672"/>
        </w:tabs>
        <w:ind w:left="567" w:right="59"/>
        <w:jc w:val="center"/>
        <w:rPr>
          <w:rFonts w:ascii="Times New Roman" w:eastAsia="Times New Roman" w:hAnsi="Times New Roman" w:cs="Times New Roman"/>
          <w:i/>
          <w:iCs/>
        </w:rPr>
      </w:pPr>
    </w:p>
    <w:p w14:paraId="4E45BEF7" w14:textId="3C0C0C51" w:rsidR="00097E5E" w:rsidRPr="00F039A3" w:rsidRDefault="00097E5E" w:rsidP="00097E5E">
      <w:pPr>
        <w:tabs>
          <w:tab w:val="left" w:pos="7672"/>
        </w:tabs>
        <w:ind w:left="567" w:right="59"/>
        <w:jc w:val="center"/>
        <w:rPr>
          <w:rFonts w:ascii="Times New Roman" w:eastAsia="Times New Roman" w:hAnsi="Times New Roman" w:cs="Times New Roman"/>
          <w:b/>
          <w:bCs/>
          <w:sz w:val="28"/>
          <w:szCs w:val="28"/>
        </w:rPr>
      </w:pPr>
      <w:r w:rsidRPr="00F039A3">
        <w:rPr>
          <w:rFonts w:ascii="Times New Roman" w:eastAsia="Times New Roman" w:hAnsi="Times New Roman" w:cs="Times New Roman"/>
          <w:b/>
          <w:bCs/>
          <w:sz w:val="28"/>
          <w:szCs w:val="28"/>
        </w:rPr>
        <w:t xml:space="preserve">Minimalne parametry techniczne </w:t>
      </w:r>
      <w:proofErr w:type="spellStart"/>
      <w:r w:rsidRPr="00F039A3">
        <w:rPr>
          <w:rFonts w:ascii="Times New Roman" w:eastAsia="Times New Roman" w:hAnsi="Times New Roman" w:cs="Times New Roman"/>
          <w:b/>
          <w:bCs/>
          <w:sz w:val="28"/>
          <w:szCs w:val="28"/>
        </w:rPr>
        <w:t>mikroinstalacji</w:t>
      </w:r>
      <w:proofErr w:type="spellEnd"/>
      <w:r w:rsidRPr="00F039A3">
        <w:rPr>
          <w:rFonts w:ascii="Times New Roman" w:eastAsia="Times New Roman" w:hAnsi="Times New Roman" w:cs="Times New Roman"/>
          <w:b/>
          <w:bCs/>
          <w:sz w:val="28"/>
          <w:szCs w:val="28"/>
        </w:rPr>
        <w:t xml:space="preserve"> OZE </w:t>
      </w:r>
      <w:r w:rsidRPr="00F039A3">
        <w:rPr>
          <w:rFonts w:ascii="Times New Roman" w:eastAsia="Times New Roman" w:hAnsi="Times New Roman" w:cs="Times New Roman"/>
          <w:b/>
          <w:bCs/>
          <w:sz w:val="28"/>
          <w:szCs w:val="28"/>
        </w:rPr>
        <w:br/>
        <w:t>wraz z listą kosztów kwalifikowalnych</w:t>
      </w:r>
    </w:p>
    <w:p w14:paraId="195ACF97" w14:textId="77777777" w:rsidR="00097E5E" w:rsidRPr="00097E5E" w:rsidRDefault="00097E5E" w:rsidP="00097E5E">
      <w:pPr>
        <w:tabs>
          <w:tab w:val="left" w:pos="7672"/>
        </w:tabs>
        <w:ind w:left="567" w:right="59"/>
        <w:jc w:val="right"/>
        <w:rPr>
          <w:rFonts w:ascii="Times New Roman" w:eastAsia="Times New Roman" w:hAnsi="Times New Roman" w:cs="Times New Roman"/>
          <w:i/>
          <w:iCs/>
        </w:rPr>
      </w:pPr>
    </w:p>
    <w:p w14:paraId="1D26AAE9"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 panele fotowoltaiczne) o mocy do 5 kWp</w:t>
      </w:r>
    </w:p>
    <w:p w14:paraId="540DDBA5" w14:textId="53D0E6FF" w:rsidR="00BB4FC3" w:rsidRPr="00FE0550" w:rsidRDefault="00BB4FC3" w:rsidP="00BB4FC3">
      <w:pPr>
        <w:autoSpaceDE w:val="0"/>
        <w:autoSpaceDN w:val="0"/>
        <w:adjustRightInd w:val="0"/>
        <w:spacing w:after="0" w:line="240" w:lineRule="auto"/>
        <w:jc w:val="both"/>
        <w:rPr>
          <w:rFonts w:ascii="Calibri" w:hAnsi="Calibri" w:cs="Calibri"/>
        </w:rPr>
      </w:pPr>
    </w:p>
    <w:p w14:paraId="6BBE0674" w14:textId="50BD0F3C" w:rsidR="00A97D5A" w:rsidRPr="00FE0550" w:rsidRDefault="0095058D" w:rsidP="00BB4FC3">
      <w:pPr>
        <w:autoSpaceDE w:val="0"/>
        <w:autoSpaceDN w:val="0"/>
        <w:adjustRightInd w:val="0"/>
        <w:spacing w:after="0" w:line="240" w:lineRule="auto"/>
        <w:jc w:val="both"/>
        <w:rPr>
          <w:rFonts w:ascii="Calibri" w:hAnsi="Calibri" w:cs="Calibri"/>
        </w:rPr>
      </w:pPr>
      <w:r w:rsidRPr="00FE0550">
        <w:rPr>
          <w:rFonts w:ascii="Calibri" w:hAnsi="Calibri" w:cs="Calibri"/>
        </w:rPr>
        <w:t xml:space="preserve">Instalacja fotowoltaiczna powinna być tak dobrana, aby całkowita ilość energii elektrycznej wyprodukowanej i odprowadzonej do sieci energetycznej przez instalację objętą grantem w rocznym okresie rozliczeniowym </w:t>
      </w:r>
      <w:r w:rsidRPr="00FE0550">
        <w:rPr>
          <w:rFonts w:ascii="Calibri" w:hAnsi="Calibri" w:cs="Calibri"/>
          <w:b/>
          <w:bCs/>
        </w:rPr>
        <w:t>nie przekroczyła 120%</w:t>
      </w:r>
      <w:r w:rsidRPr="00FE0550">
        <w:rPr>
          <w:rFonts w:ascii="Calibri" w:hAnsi="Calibri" w:cs="Calibri"/>
        </w:rPr>
        <w:t xml:space="preserve"> całkowitej ilości energii elektrycznej pobranej z sieci energetycznej przez Grantobiorcę na potrzeby budynku mieszkalnego w tym samym okresie rozliczeniowym.</w:t>
      </w:r>
    </w:p>
    <w:p w14:paraId="36F1FC8F" w14:textId="77777777" w:rsidR="000210AF" w:rsidRPr="00FE0550" w:rsidRDefault="000210AF" w:rsidP="00BB4FC3">
      <w:pPr>
        <w:autoSpaceDE w:val="0"/>
        <w:autoSpaceDN w:val="0"/>
        <w:adjustRightInd w:val="0"/>
        <w:spacing w:after="0" w:line="240" w:lineRule="auto"/>
        <w:jc w:val="both"/>
        <w:rPr>
          <w:rFonts w:ascii="Calibri" w:hAnsi="Calibri" w:cs="Calibri"/>
        </w:rPr>
      </w:pPr>
    </w:p>
    <w:p w14:paraId="66265B1C" w14:textId="7F68D693"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M</w:t>
      </w:r>
      <w:r w:rsidR="00850B6F" w:rsidRPr="00FE0550">
        <w:rPr>
          <w:rFonts w:ascii="Calibri" w:hAnsi="Calibri" w:cs="Calibri"/>
          <w:sz w:val="22"/>
          <w:szCs w:val="22"/>
        </w:rPr>
        <w:t>in. m</w:t>
      </w:r>
      <w:r w:rsidRPr="00FE0550">
        <w:rPr>
          <w:rFonts w:ascii="Calibri" w:hAnsi="Calibri" w:cs="Calibri"/>
          <w:sz w:val="22"/>
          <w:szCs w:val="22"/>
        </w:rPr>
        <w:t xml:space="preserve">oc modułu: 300 </w:t>
      </w:r>
      <w:proofErr w:type="spellStart"/>
      <w:r w:rsidRPr="00FE0550">
        <w:rPr>
          <w:rFonts w:ascii="Calibri" w:hAnsi="Calibri" w:cs="Calibri"/>
          <w:sz w:val="22"/>
          <w:szCs w:val="22"/>
        </w:rPr>
        <w:t>Wp</w:t>
      </w:r>
      <w:proofErr w:type="spellEnd"/>
      <w:r w:rsidRPr="00FE0550">
        <w:rPr>
          <w:rFonts w:ascii="Calibri" w:hAnsi="Calibri" w:cs="Calibri"/>
          <w:sz w:val="22"/>
          <w:szCs w:val="22"/>
        </w:rPr>
        <w:t xml:space="preserve"> (standardowe warunki badania: natężenie nasłonecznienia 1000 W/m2, temperatura ogniwa 25°C i współczynnik masy powietrza AM 1,5)</w:t>
      </w:r>
    </w:p>
    <w:p w14:paraId="5A8F9004" w14:textId="77777777"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Wymogi potwierdzające jakość: Certyfikowano według: IEC 61215, IEC 61730</w:t>
      </w:r>
    </w:p>
    <w:p w14:paraId="5094C085" w14:textId="2BD491B6" w:rsidR="00A97D5A" w:rsidRPr="000065A5" w:rsidRDefault="00A97D5A" w:rsidP="00850B6F">
      <w:pPr>
        <w:pStyle w:val="Akapitzlist"/>
        <w:numPr>
          <w:ilvl w:val="0"/>
          <w:numId w:val="4"/>
        </w:numPr>
        <w:autoSpaceDE w:val="0"/>
        <w:autoSpaceDN w:val="0"/>
        <w:adjustRightInd w:val="0"/>
        <w:spacing w:after="120"/>
        <w:jc w:val="both"/>
        <w:rPr>
          <w:rFonts w:ascii="Calibri" w:hAnsi="Calibri" w:cs="Calibri"/>
          <w:b/>
          <w:bCs/>
          <w:sz w:val="22"/>
          <w:szCs w:val="22"/>
        </w:rPr>
      </w:pPr>
      <w:r w:rsidRPr="00FE0550">
        <w:rPr>
          <w:rFonts w:ascii="Calibri" w:hAnsi="Calibri" w:cs="Calibri"/>
          <w:sz w:val="22"/>
          <w:szCs w:val="22"/>
        </w:rPr>
        <w:t>Amoniak: IEC 62716</w:t>
      </w:r>
      <w:r w:rsidR="007D3875">
        <w:rPr>
          <w:rFonts w:ascii="Calibri" w:hAnsi="Calibri" w:cs="Calibri"/>
          <w:sz w:val="22"/>
          <w:szCs w:val="22"/>
        </w:rPr>
        <w:t xml:space="preserve"> </w:t>
      </w:r>
      <w:r w:rsidR="007D3875" w:rsidRPr="000065A5">
        <w:rPr>
          <w:rFonts w:ascii="Calibri" w:hAnsi="Calibri" w:cs="Calibri"/>
          <w:b/>
          <w:bCs/>
          <w:sz w:val="22"/>
          <w:szCs w:val="22"/>
        </w:rPr>
        <w:t>(fakultatywnie)</w:t>
      </w:r>
    </w:p>
    <w:p w14:paraId="75AA8AB3" w14:textId="5B100005" w:rsidR="00A97D5A" w:rsidRPr="000065A5" w:rsidRDefault="00A97D5A" w:rsidP="00850B6F">
      <w:pPr>
        <w:pStyle w:val="Akapitzlist"/>
        <w:numPr>
          <w:ilvl w:val="0"/>
          <w:numId w:val="4"/>
        </w:numPr>
        <w:autoSpaceDE w:val="0"/>
        <w:autoSpaceDN w:val="0"/>
        <w:adjustRightInd w:val="0"/>
        <w:spacing w:after="120"/>
        <w:jc w:val="both"/>
        <w:rPr>
          <w:rFonts w:ascii="Calibri" w:hAnsi="Calibri" w:cs="Calibri"/>
          <w:b/>
          <w:bCs/>
          <w:sz w:val="22"/>
          <w:szCs w:val="22"/>
        </w:rPr>
      </w:pPr>
      <w:r w:rsidRPr="00FE0550">
        <w:rPr>
          <w:rFonts w:ascii="Calibri" w:hAnsi="Calibri" w:cs="Calibri"/>
          <w:sz w:val="22"/>
          <w:szCs w:val="22"/>
        </w:rPr>
        <w:t>Mgła solna: IEC 61701</w:t>
      </w:r>
      <w:r w:rsidR="007D3875">
        <w:rPr>
          <w:rFonts w:ascii="Calibri" w:hAnsi="Calibri" w:cs="Calibri"/>
          <w:sz w:val="22"/>
          <w:szCs w:val="22"/>
        </w:rPr>
        <w:t xml:space="preserve"> </w:t>
      </w:r>
      <w:r w:rsidR="007D3875" w:rsidRPr="000065A5">
        <w:rPr>
          <w:rFonts w:ascii="Calibri" w:hAnsi="Calibri" w:cs="Calibri"/>
          <w:b/>
          <w:bCs/>
          <w:sz w:val="22"/>
          <w:szCs w:val="22"/>
        </w:rPr>
        <w:t>(fakultatywnie)</w:t>
      </w:r>
    </w:p>
    <w:p w14:paraId="2A97F3CF" w14:textId="77777777"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Ilość komórek: min 60</w:t>
      </w:r>
    </w:p>
    <w:p w14:paraId="22710C91" w14:textId="77777777"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Sprawność modułu (min): 19%, (standardowe warunki badania: natężenie nasłonecznienia 1000 W/m2, temperatura ogniwa 25°C i współczynnik masy powietrza AM 1,5)</w:t>
      </w:r>
    </w:p>
    <w:p w14:paraId="65FBCB46" w14:textId="77777777"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Typ modułu: Monokrystaliczny</w:t>
      </w:r>
    </w:p>
    <w:p w14:paraId="545051B7" w14:textId="58FE44DB"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Odporność na grad zgodnie z normą 61215</w:t>
      </w:r>
    </w:p>
    <w:p w14:paraId="61F81714" w14:textId="26D2574E"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Wytrzymałość mechaniczna na obciążenie od śniegu/wiatru:  5400/2400 Pa</w:t>
      </w:r>
    </w:p>
    <w:p w14:paraId="0AE15E0C" w14:textId="497EDCC0"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Min. temperaturowy zakres pracy: - 40 do +85 C</w:t>
      </w:r>
    </w:p>
    <w:p w14:paraId="0A163061" w14:textId="5F7826B8"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Obciążenie prądem wstecznym: 20 A</w:t>
      </w:r>
    </w:p>
    <w:p w14:paraId="5C910008" w14:textId="675ADE70"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Puszka przyłączeniowa: IP67, 3 diody</w:t>
      </w:r>
    </w:p>
    <w:p w14:paraId="1129BD8B" w14:textId="6F58FACA"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Liniowa gwarancja spadku mocy</w:t>
      </w:r>
    </w:p>
    <w:p w14:paraId="27DD5368" w14:textId="324ABA4A"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Tolerancja mocy: 0/+5W</w:t>
      </w:r>
    </w:p>
    <w:p w14:paraId="6D61D508" w14:textId="75BB042F"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Moduły fotowoltaiczne należy zamontować na konstrukcji aluminiowej dedykowanej do tego typu rozwiązań dla danego rodzaju dachu, dopuszcza się konstrukcję ze stali nierdzewnej dla instalacji wykonanej na elewacji lub gruncie. Falownik zamontować w miejscu wskazanym przez inwestora.</w:t>
      </w:r>
    </w:p>
    <w:p w14:paraId="5B41FBC0" w14:textId="16021870" w:rsidR="00A97D5A" w:rsidRPr="00FE0550" w:rsidRDefault="00A97D5A" w:rsidP="00850B6F">
      <w:pPr>
        <w:pStyle w:val="Akapitzlist"/>
        <w:numPr>
          <w:ilvl w:val="0"/>
          <w:numId w:val="4"/>
        </w:numPr>
        <w:autoSpaceDE w:val="0"/>
        <w:autoSpaceDN w:val="0"/>
        <w:adjustRightInd w:val="0"/>
        <w:spacing w:after="120"/>
        <w:jc w:val="both"/>
        <w:rPr>
          <w:rFonts w:ascii="Calibri" w:hAnsi="Calibri" w:cs="Calibri"/>
          <w:sz w:val="22"/>
          <w:szCs w:val="22"/>
        </w:rPr>
      </w:pPr>
      <w:r w:rsidRPr="00FE0550">
        <w:rPr>
          <w:rFonts w:ascii="Calibri" w:hAnsi="Calibri" w:cs="Calibri"/>
          <w:sz w:val="22"/>
          <w:szCs w:val="22"/>
        </w:rPr>
        <w:t>Inwerter fotowoltaiczny:</w:t>
      </w:r>
    </w:p>
    <w:p w14:paraId="0FD59750" w14:textId="49007926" w:rsidR="00A97D5A" w:rsidRPr="00FE0550" w:rsidRDefault="00727DD5" w:rsidP="00727DD5">
      <w:pPr>
        <w:pStyle w:val="Akapitzlist"/>
        <w:numPr>
          <w:ilvl w:val="0"/>
          <w:numId w:val="10"/>
        </w:numPr>
        <w:autoSpaceDE w:val="0"/>
        <w:autoSpaceDN w:val="0"/>
        <w:adjustRightInd w:val="0"/>
        <w:spacing w:after="120"/>
        <w:ind w:left="1134"/>
        <w:jc w:val="both"/>
        <w:rPr>
          <w:rFonts w:ascii="Calibri" w:hAnsi="Calibri" w:cs="Calibri"/>
          <w:sz w:val="22"/>
          <w:szCs w:val="22"/>
        </w:rPr>
      </w:pPr>
      <w:r>
        <w:rPr>
          <w:rFonts w:ascii="Calibri" w:hAnsi="Calibri" w:cs="Calibri"/>
          <w:sz w:val="22"/>
          <w:szCs w:val="22"/>
        </w:rPr>
        <w:t>topologia beztransformatorowa;</w:t>
      </w:r>
    </w:p>
    <w:p w14:paraId="3960E27F" w14:textId="230358C1" w:rsidR="00A97D5A" w:rsidRPr="00FE0550" w:rsidRDefault="00A97D5A" w:rsidP="00727DD5">
      <w:pPr>
        <w:pStyle w:val="Akapitzlist"/>
        <w:numPr>
          <w:ilvl w:val="0"/>
          <w:numId w:val="10"/>
        </w:numPr>
        <w:autoSpaceDE w:val="0"/>
        <w:autoSpaceDN w:val="0"/>
        <w:adjustRightInd w:val="0"/>
        <w:spacing w:after="120"/>
        <w:ind w:left="1134"/>
        <w:jc w:val="both"/>
        <w:rPr>
          <w:rFonts w:ascii="Calibri" w:hAnsi="Calibri" w:cs="Calibri"/>
          <w:sz w:val="22"/>
          <w:szCs w:val="22"/>
        </w:rPr>
      </w:pPr>
      <w:r w:rsidRPr="00FE0550">
        <w:rPr>
          <w:rFonts w:ascii="Calibri" w:hAnsi="Calibri" w:cs="Calibri"/>
          <w:sz w:val="22"/>
          <w:szCs w:val="22"/>
        </w:rPr>
        <w:t>moc inwertera dobrana w granicach 85-115% mocy całkowit</w:t>
      </w:r>
      <w:r w:rsidR="00727DD5">
        <w:rPr>
          <w:rFonts w:ascii="Calibri" w:hAnsi="Calibri" w:cs="Calibri"/>
          <w:sz w:val="22"/>
          <w:szCs w:val="22"/>
        </w:rPr>
        <w:t>ej instalacji PV;</w:t>
      </w:r>
    </w:p>
    <w:p w14:paraId="74FE7AA6" w14:textId="4D964F84" w:rsidR="00A97D5A" w:rsidRPr="00FE0550" w:rsidRDefault="00727DD5" w:rsidP="00727DD5">
      <w:pPr>
        <w:pStyle w:val="Akapitzlist"/>
        <w:numPr>
          <w:ilvl w:val="0"/>
          <w:numId w:val="10"/>
        </w:numPr>
        <w:autoSpaceDE w:val="0"/>
        <w:autoSpaceDN w:val="0"/>
        <w:adjustRightInd w:val="0"/>
        <w:spacing w:after="120"/>
        <w:ind w:left="1134"/>
        <w:jc w:val="both"/>
        <w:rPr>
          <w:rFonts w:ascii="Calibri" w:hAnsi="Calibri" w:cs="Calibri"/>
          <w:sz w:val="22"/>
          <w:szCs w:val="22"/>
        </w:rPr>
      </w:pPr>
      <w:r>
        <w:rPr>
          <w:rFonts w:ascii="Calibri" w:hAnsi="Calibri" w:cs="Calibri"/>
          <w:sz w:val="22"/>
          <w:szCs w:val="22"/>
        </w:rPr>
        <w:t>stopień ochrony: min. IP65;</w:t>
      </w:r>
    </w:p>
    <w:p w14:paraId="1FFA566B" w14:textId="77777777" w:rsidR="00A97D5A" w:rsidRPr="00FE0550" w:rsidRDefault="00A97D5A" w:rsidP="00727DD5">
      <w:pPr>
        <w:pStyle w:val="Akapitzlist"/>
        <w:numPr>
          <w:ilvl w:val="0"/>
          <w:numId w:val="10"/>
        </w:numPr>
        <w:autoSpaceDE w:val="0"/>
        <w:autoSpaceDN w:val="0"/>
        <w:adjustRightInd w:val="0"/>
        <w:spacing w:after="120"/>
        <w:ind w:left="1134"/>
        <w:jc w:val="both"/>
        <w:rPr>
          <w:rFonts w:ascii="Calibri" w:hAnsi="Calibri" w:cs="Calibri"/>
          <w:sz w:val="22"/>
          <w:szCs w:val="22"/>
        </w:rPr>
      </w:pPr>
      <w:r w:rsidRPr="00FE0550">
        <w:rPr>
          <w:rFonts w:ascii="Calibri" w:hAnsi="Calibri" w:cs="Calibri"/>
          <w:sz w:val="22"/>
          <w:szCs w:val="22"/>
        </w:rPr>
        <w:lastRenderedPageBreak/>
        <w:t xml:space="preserve">sprawność maksymalna ≥ 97%; </w:t>
      </w:r>
    </w:p>
    <w:p w14:paraId="739450B8" w14:textId="77777777" w:rsidR="00A97D5A" w:rsidRPr="00097E5E" w:rsidRDefault="00A97D5A" w:rsidP="00727DD5">
      <w:pPr>
        <w:pStyle w:val="Akapitzlist"/>
        <w:numPr>
          <w:ilvl w:val="0"/>
          <w:numId w:val="10"/>
        </w:numPr>
        <w:autoSpaceDE w:val="0"/>
        <w:autoSpaceDN w:val="0"/>
        <w:adjustRightInd w:val="0"/>
        <w:spacing w:after="120"/>
        <w:ind w:left="1134"/>
        <w:jc w:val="both"/>
        <w:rPr>
          <w:sz w:val="22"/>
          <w:szCs w:val="22"/>
        </w:rPr>
      </w:pPr>
      <w:r w:rsidRPr="00FE0550">
        <w:rPr>
          <w:rFonts w:ascii="Calibri" w:hAnsi="Calibri" w:cs="Calibri"/>
          <w:sz w:val="22"/>
          <w:szCs w:val="22"/>
        </w:rPr>
        <w:t xml:space="preserve">min. 5 lat gwarancji; </w:t>
      </w:r>
    </w:p>
    <w:p w14:paraId="70CC2AE0" w14:textId="77777777" w:rsidR="00A97D5A" w:rsidRPr="00097E5E" w:rsidRDefault="00A97D5A" w:rsidP="00727DD5">
      <w:pPr>
        <w:pStyle w:val="Akapitzlist"/>
        <w:numPr>
          <w:ilvl w:val="0"/>
          <w:numId w:val="10"/>
        </w:numPr>
        <w:autoSpaceDE w:val="0"/>
        <w:autoSpaceDN w:val="0"/>
        <w:adjustRightInd w:val="0"/>
        <w:spacing w:after="120"/>
        <w:ind w:left="1134"/>
        <w:jc w:val="both"/>
        <w:rPr>
          <w:sz w:val="22"/>
          <w:szCs w:val="22"/>
        </w:rPr>
      </w:pPr>
      <w:r w:rsidRPr="00097E5E">
        <w:rPr>
          <w:sz w:val="22"/>
          <w:szCs w:val="22"/>
        </w:rPr>
        <w:t xml:space="preserve">wbudowane zabezpieczenie odcinające napięcie przy braku obecności sieci zasilającej; </w:t>
      </w:r>
    </w:p>
    <w:p w14:paraId="780D28BB" w14:textId="77777777" w:rsidR="000C0AD8" w:rsidRPr="00097E5E" w:rsidRDefault="00A97D5A" w:rsidP="00727DD5">
      <w:pPr>
        <w:pStyle w:val="Akapitzlist"/>
        <w:numPr>
          <w:ilvl w:val="0"/>
          <w:numId w:val="10"/>
        </w:numPr>
        <w:autoSpaceDE w:val="0"/>
        <w:autoSpaceDN w:val="0"/>
        <w:adjustRightInd w:val="0"/>
        <w:spacing w:after="120"/>
        <w:ind w:left="1134"/>
        <w:jc w:val="both"/>
        <w:rPr>
          <w:sz w:val="22"/>
          <w:szCs w:val="22"/>
        </w:rPr>
      </w:pPr>
      <w:r w:rsidRPr="00097E5E">
        <w:rPr>
          <w:sz w:val="22"/>
          <w:szCs w:val="22"/>
        </w:rPr>
        <w:t>możliwość komunikacji przez media przewodowe lub bezprzewodowe.</w:t>
      </w:r>
    </w:p>
    <w:p w14:paraId="2DC80B1D" w14:textId="46BFFC12" w:rsidR="000C0AD8" w:rsidRPr="000065A5" w:rsidRDefault="000C0AD8" w:rsidP="00727DD5">
      <w:pPr>
        <w:pStyle w:val="Akapitzlist"/>
        <w:numPr>
          <w:ilvl w:val="0"/>
          <w:numId w:val="10"/>
        </w:numPr>
        <w:autoSpaceDE w:val="0"/>
        <w:autoSpaceDN w:val="0"/>
        <w:adjustRightInd w:val="0"/>
        <w:spacing w:after="120"/>
        <w:ind w:left="1134"/>
        <w:jc w:val="both"/>
        <w:rPr>
          <w:b/>
          <w:bCs/>
          <w:sz w:val="22"/>
          <w:szCs w:val="22"/>
        </w:rPr>
      </w:pPr>
      <w:r w:rsidRPr="00097E5E">
        <w:rPr>
          <w:sz w:val="22"/>
          <w:szCs w:val="22"/>
        </w:rPr>
        <w:t xml:space="preserve">powinien umożliwiać gromadzenie i lokalną prezentację </w:t>
      </w:r>
      <w:r w:rsidR="00CE41A8" w:rsidRPr="00097E5E">
        <w:rPr>
          <w:sz w:val="22"/>
          <w:szCs w:val="22"/>
        </w:rPr>
        <w:t xml:space="preserve">danych o ilości energii </w:t>
      </w:r>
      <w:r w:rsidRPr="00097E5E">
        <w:rPr>
          <w:sz w:val="22"/>
          <w:szCs w:val="22"/>
        </w:rPr>
        <w:t xml:space="preserve">elektrycznej wytworzonej w instalacji </w:t>
      </w:r>
      <w:r w:rsidR="007D3875" w:rsidRPr="000065A5">
        <w:rPr>
          <w:b/>
          <w:bCs/>
          <w:sz w:val="22"/>
          <w:szCs w:val="22"/>
        </w:rPr>
        <w:t xml:space="preserve">(za pomocą </w:t>
      </w:r>
      <w:r w:rsidR="000241ED" w:rsidRPr="000065A5">
        <w:rPr>
          <w:b/>
          <w:bCs/>
          <w:sz w:val="22"/>
          <w:szCs w:val="22"/>
        </w:rPr>
        <w:t xml:space="preserve">wbudowanego </w:t>
      </w:r>
      <w:r w:rsidR="007D3875" w:rsidRPr="000065A5">
        <w:rPr>
          <w:b/>
          <w:bCs/>
          <w:sz w:val="22"/>
          <w:szCs w:val="22"/>
        </w:rPr>
        <w:t>wyświetlacza lub dostarczonej aplikacji)</w:t>
      </w:r>
    </w:p>
    <w:p w14:paraId="0C574E30" w14:textId="7E705FFB" w:rsidR="000C0AD8" w:rsidRPr="00097E5E" w:rsidRDefault="000C0AD8" w:rsidP="00727DD5">
      <w:pPr>
        <w:pStyle w:val="Akapitzlist"/>
        <w:numPr>
          <w:ilvl w:val="0"/>
          <w:numId w:val="10"/>
        </w:numPr>
        <w:autoSpaceDE w:val="0"/>
        <w:autoSpaceDN w:val="0"/>
        <w:adjustRightInd w:val="0"/>
        <w:spacing w:after="120"/>
        <w:ind w:left="1134"/>
        <w:jc w:val="both"/>
        <w:rPr>
          <w:sz w:val="22"/>
          <w:szCs w:val="22"/>
        </w:rPr>
      </w:pPr>
      <w:r w:rsidRPr="00097E5E">
        <w:rPr>
          <w:sz w:val="22"/>
          <w:szCs w:val="22"/>
        </w:rPr>
        <w:t xml:space="preserve">powinien umożliwiać kontrolowanie procesu przekazywania energii, </w:t>
      </w:r>
    </w:p>
    <w:p w14:paraId="010020D3" w14:textId="6F1F629B" w:rsidR="000C0AD8" w:rsidRPr="00097E5E" w:rsidRDefault="000C0AD8" w:rsidP="00727DD5">
      <w:pPr>
        <w:pStyle w:val="Akapitzlist"/>
        <w:numPr>
          <w:ilvl w:val="0"/>
          <w:numId w:val="10"/>
        </w:numPr>
        <w:autoSpaceDE w:val="0"/>
        <w:autoSpaceDN w:val="0"/>
        <w:adjustRightInd w:val="0"/>
        <w:spacing w:after="120"/>
        <w:ind w:left="1134"/>
        <w:jc w:val="both"/>
        <w:rPr>
          <w:sz w:val="22"/>
          <w:szCs w:val="22"/>
        </w:rPr>
      </w:pPr>
      <w:r w:rsidRPr="00097E5E">
        <w:rPr>
          <w:sz w:val="22"/>
          <w:szCs w:val="22"/>
        </w:rPr>
        <w:t>powinien umożliwiać archiwizację danych pomiarowych</w:t>
      </w:r>
      <w:r w:rsidR="00CE41A8" w:rsidRPr="00097E5E">
        <w:rPr>
          <w:sz w:val="22"/>
          <w:szCs w:val="22"/>
        </w:rPr>
        <w:t xml:space="preserve"> przez okres trwałości projektu</w:t>
      </w:r>
      <w:r w:rsidRPr="00097E5E">
        <w:rPr>
          <w:sz w:val="22"/>
          <w:szCs w:val="22"/>
        </w:rPr>
        <w:t>,</w:t>
      </w:r>
    </w:p>
    <w:p w14:paraId="3F48F304" w14:textId="3C90A742" w:rsidR="00EA6280" w:rsidRPr="00097E5E" w:rsidRDefault="00B461B0" w:rsidP="000C0AD8">
      <w:pPr>
        <w:pStyle w:val="Akapitzlist"/>
        <w:numPr>
          <w:ilvl w:val="0"/>
          <w:numId w:val="4"/>
        </w:numPr>
        <w:autoSpaceDE w:val="0"/>
        <w:autoSpaceDN w:val="0"/>
        <w:adjustRightInd w:val="0"/>
        <w:spacing w:after="120"/>
        <w:jc w:val="both"/>
        <w:rPr>
          <w:sz w:val="22"/>
          <w:szCs w:val="22"/>
        </w:rPr>
      </w:pPr>
      <w:r w:rsidRPr="00097E5E">
        <w:rPr>
          <w:sz w:val="22"/>
          <w:szCs w:val="22"/>
        </w:rPr>
        <w:t xml:space="preserve">Kable fotowoltaiczne – powinny </w:t>
      </w:r>
      <w:r w:rsidR="00BB4FC3" w:rsidRPr="00097E5E">
        <w:rPr>
          <w:sz w:val="22"/>
          <w:szCs w:val="22"/>
        </w:rPr>
        <w:t>cechować</w:t>
      </w:r>
      <w:r w:rsidRPr="00097E5E">
        <w:rPr>
          <w:sz w:val="22"/>
          <w:szCs w:val="22"/>
        </w:rPr>
        <w:t xml:space="preserve"> się podwyższoną odpornością na uszkodzenia mechaniczne</w:t>
      </w:r>
      <w:r w:rsidR="00BB4FC3" w:rsidRPr="00097E5E">
        <w:rPr>
          <w:sz w:val="22"/>
          <w:szCs w:val="22"/>
        </w:rPr>
        <w:t xml:space="preserve"> </w:t>
      </w:r>
      <w:r w:rsidRPr="00097E5E">
        <w:rPr>
          <w:sz w:val="22"/>
          <w:szCs w:val="22"/>
        </w:rPr>
        <w:t xml:space="preserve">i warunki atmosferyczne, odpornością na podwyższoną temperaturę pracy oraz </w:t>
      </w:r>
      <w:r w:rsidR="00BB4FC3" w:rsidRPr="00097E5E">
        <w:rPr>
          <w:sz w:val="22"/>
          <w:szCs w:val="22"/>
        </w:rPr>
        <w:t>być</w:t>
      </w:r>
      <w:r w:rsidRPr="00097E5E">
        <w:rPr>
          <w:sz w:val="22"/>
          <w:szCs w:val="22"/>
        </w:rPr>
        <w:t xml:space="preserve"> odporne na</w:t>
      </w:r>
      <w:r w:rsidR="00BB4FC3" w:rsidRPr="00097E5E">
        <w:rPr>
          <w:sz w:val="22"/>
          <w:szCs w:val="22"/>
        </w:rPr>
        <w:t xml:space="preserve"> </w:t>
      </w:r>
      <w:r w:rsidRPr="00097E5E">
        <w:rPr>
          <w:sz w:val="22"/>
          <w:szCs w:val="22"/>
        </w:rPr>
        <w:t xml:space="preserve">promieniowanie UV. </w:t>
      </w:r>
      <w:r w:rsidR="00BB4FC3" w:rsidRPr="00097E5E">
        <w:rPr>
          <w:sz w:val="22"/>
          <w:szCs w:val="22"/>
        </w:rPr>
        <w:t>Całość</w:t>
      </w:r>
      <w:r w:rsidRPr="00097E5E">
        <w:rPr>
          <w:sz w:val="22"/>
          <w:szCs w:val="22"/>
        </w:rPr>
        <w:t xml:space="preserve"> okablowania powinna </w:t>
      </w:r>
      <w:r w:rsidR="00BB4FC3" w:rsidRPr="00097E5E">
        <w:rPr>
          <w:sz w:val="22"/>
          <w:szCs w:val="22"/>
        </w:rPr>
        <w:t>być</w:t>
      </w:r>
      <w:r w:rsidRPr="00097E5E">
        <w:rPr>
          <w:sz w:val="22"/>
          <w:szCs w:val="22"/>
        </w:rPr>
        <w:t xml:space="preserve"> prowadzona </w:t>
      </w:r>
      <w:r w:rsidR="000C0AD8" w:rsidRPr="00097E5E">
        <w:rPr>
          <w:sz w:val="22"/>
          <w:szCs w:val="22"/>
        </w:rPr>
        <w:t xml:space="preserve">w </w:t>
      </w:r>
      <w:proofErr w:type="spellStart"/>
      <w:r w:rsidR="000C0AD8" w:rsidRPr="00097E5E">
        <w:rPr>
          <w:sz w:val="22"/>
          <w:szCs w:val="22"/>
        </w:rPr>
        <w:t>pesz</w:t>
      </w:r>
      <w:r w:rsidR="00CE41A8" w:rsidRPr="00097E5E">
        <w:rPr>
          <w:sz w:val="22"/>
          <w:szCs w:val="22"/>
        </w:rPr>
        <w:t>e</w:t>
      </w:r>
      <w:r w:rsidR="000C0AD8" w:rsidRPr="00097E5E">
        <w:rPr>
          <w:sz w:val="22"/>
          <w:szCs w:val="22"/>
        </w:rPr>
        <w:t>l</w:t>
      </w:r>
      <w:r w:rsidR="00CE41A8" w:rsidRPr="00097E5E">
        <w:rPr>
          <w:sz w:val="22"/>
          <w:szCs w:val="22"/>
        </w:rPr>
        <w:t>a</w:t>
      </w:r>
      <w:r w:rsidR="000C0AD8" w:rsidRPr="00097E5E">
        <w:rPr>
          <w:sz w:val="22"/>
          <w:szCs w:val="22"/>
        </w:rPr>
        <w:t>ch</w:t>
      </w:r>
      <w:proofErr w:type="spellEnd"/>
      <w:r w:rsidR="000C0AD8" w:rsidRPr="00097E5E">
        <w:rPr>
          <w:sz w:val="22"/>
          <w:szCs w:val="22"/>
        </w:rPr>
        <w:t xml:space="preserve"> kablowych odpornych na działanie promieniowania UV</w:t>
      </w:r>
      <w:r w:rsidR="00CE41A8" w:rsidRPr="00097E5E">
        <w:rPr>
          <w:sz w:val="22"/>
          <w:szCs w:val="22"/>
        </w:rPr>
        <w:t>,</w:t>
      </w:r>
      <w:r w:rsidR="000C0AD8" w:rsidRPr="00097E5E">
        <w:rPr>
          <w:sz w:val="22"/>
          <w:szCs w:val="22"/>
        </w:rPr>
        <w:t xml:space="preserve"> ułożona </w:t>
      </w:r>
      <w:r w:rsidRPr="00097E5E">
        <w:rPr>
          <w:sz w:val="22"/>
          <w:szCs w:val="22"/>
        </w:rPr>
        <w:t>w korytkach kablowych odpornych</w:t>
      </w:r>
      <w:r w:rsidR="00BB4FC3" w:rsidRPr="00097E5E">
        <w:rPr>
          <w:sz w:val="22"/>
          <w:szCs w:val="22"/>
        </w:rPr>
        <w:t xml:space="preserve"> </w:t>
      </w:r>
      <w:r w:rsidRPr="00097E5E">
        <w:rPr>
          <w:sz w:val="22"/>
          <w:szCs w:val="22"/>
        </w:rPr>
        <w:t>na działanie promieniowania UV.</w:t>
      </w:r>
      <w:r w:rsidR="000C0AD8" w:rsidRPr="00097E5E">
        <w:rPr>
          <w:sz w:val="22"/>
          <w:szCs w:val="22"/>
        </w:rPr>
        <w:t xml:space="preserve"> Używane opaski kablowe powinny być odporne na działanie promieniowania UV.</w:t>
      </w:r>
    </w:p>
    <w:p w14:paraId="5CB13499" w14:textId="146D5C75" w:rsidR="00EA6280" w:rsidRPr="00097E5E" w:rsidRDefault="00B461B0" w:rsidP="00850B6F">
      <w:pPr>
        <w:pStyle w:val="Akapitzlist"/>
        <w:numPr>
          <w:ilvl w:val="0"/>
          <w:numId w:val="4"/>
        </w:numPr>
        <w:autoSpaceDE w:val="0"/>
        <w:autoSpaceDN w:val="0"/>
        <w:adjustRightInd w:val="0"/>
        <w:spacing w:after="120"/>
        <w:jc w:val="both"/>
        <w:rPr>
          <w:sz w:val="22"/>
          <w:szCs w:val="22"/>
        </w:rPr>
      </w:pPr>
      <w:r w:rsidRPr="00097E5E">
        <w:rPr>
          <w:sz w:val="22"/>
          <w:szCs w:val="22"/>
        </w:rPr>
        <w:t xml:space="preserve">Urządzenia wchodzące w skład instalacji muszą </w:t>
      </w:r>
      <w:r w:rsidR="00BB4FC3" w:rsidRPr="00097E5E">
        <w:rPr>
          <w:sz w:val="22"/>
          <w:szCs w:val="22"/>
        </w:rPr>
        <w:t>być</w:t>
      </w:r>
      <w:r w:rsidRPr="00097E5E">
        <w:rPr>
          <w:sz w:val="22"/>
          <w:szCs w:val="22"/>
        </w:rPr>
        <w:t xml:space="preserve"> fabrycznie nowe.</w:t>
      </w:r>
    </w:p>
    <w:p w14:paraId="499A9B78" w14:textId="20DF1DF2" w:rsidR="00B461B0" w:rsidRPr="00097E5E" w:rsidRDefault="00B461B0" w:rsidP="00850B6F">
      <w:pPr>
        <w:pStyle w:val="Akapitzlist"/>
        <w:numPr>
          <w:ilvl w:val="0"/>
          <w:numId w:val="4"/>
        </w:numPr>
        <w:autoSpaceDE w:val="0"/>
        <w:autoSpaceDN w:val="0"/>
        <w:adjustRightInd w:val="0"/>
        <w:spacing w:after="120"/>
        <w:jc w:val="both"/>
        <w:rPr>
          <w:sz w:val="22"/>
          <w:szCs w:val="22"/>
        </w:rPr>
      </w:pPr>
      <w:r w:rsidRPr="00097E5E">
        <w:rPr>
          <w:sz w:val="22"/>
          <w:szCs w:val="22"/>
        </w:rPr>
        <w:t xml:space="preserve">Urządzenia wchodzące w skład instalacji muszą </w:t>
      </w:r>
      <w:r w:rsidR="00BB4FC3" w:rsidRPr="00097E5E">
        <w:rPr>
          <w:sz w:val="22"/>
          <w:szCs w:val="22"/>
        </w:rPr>
        <w:t>posiadać</w:t>
      </w:r>
      <w:r w:rsidRPr="00097E5E">
        <w:rPr>
          <w:sz w:val="22"/>
          <w:szCs w:val="22"/>
        </w:rPr>
        <w:t xml:space="preserve"> gwarancję producentów:</w:t>
      </w:r>
    </w:p>
    <w:p w14:paraId="4B4B21E3" w14:textId="27001556" w:rsidR="00B461B0" w:rsidRPr="00097E5E" w:rsidRDefault="00B461B0" w:rsidP="00727DD5">
      <w:pPr>
        <w:pStyle w:val="Akapitzlist"/>
        <w:numPr>
          <w:ilvl w:val="0"/>
          <w:numId w:val="11"/>
        </w:numPr>
        <w:autoSpaceDE w:val="0"/>
        <w:autoSpaceDN w:val="0"/>
        <w:adjustRightInd w:val="0"/>
        <w:spacing w:after="120"/>
        <w:ind w:left="1134"/>
        <w:rPr>
          <w:sz w:val="22"/>
          <w:szCs w:val="22"/>
        </w:rPr>
      </w:pPr>
      <w:r w:rsidRPr="00097E5E">
        <w:rPr>
          <w:sz w:val="22"/>
          <w:szCs w:val="22"/>
        </w:rPr>
        <w:t>na wady ukryte modułów fotowoltaicznych min. 10 lat,</w:t>
      </w:r>
    </w:p>
    <w:p w14:paraId="1C5FCC65" w14:textId="302DB778" w:rsidR="00B461B0" w:rsidRPr="00097E5E" w:rsidRDefault="00B461B0" w:rsidP="00727DD5">
      <w:pPr>
        <w:pStyle w:val="Akapitzlist"/>
        <w:numPr>
          <w:ilvl w:val="0"/>
          <w:numId w:val="11"/>
        </w:numPr>
        <w:autoSpaceDE w:val="0"/>
        <w:autoSpaceDN w:val="0"/>
        <w:adjustRightInd w:val="0"/>
        <w:spacing w:after="120"/>
        <w:ind w:left="1134"/>
        <w:rPr>
          <w:sz w:val="22"/>
          <w:szCs w:val="22"/>
        </w:rPr>
      </w:pPr>
      <w:r w:rsidRPr="00097E5E">
        <w:rPr>
          <w:sz w:val="22"/>
          <w:szCs w:val="22"/>
        </w:rPr>
        <w:t>na uzysk mocy z modułów fotowoltaicznych w ciągu 10 lat minimum 90%,</w:t>
      </w:r>
    </w:p>
    <w:p w14:paraId="22310ABF" w14:textId="659F2AD3" w:rsidR="00B461B0" w:rsidRPr="00097E5E" w:rsidRDefault="00B461B0" w:rsidP="00727DD5">
      <w:pPr>
        <w:pStyle w:val="Akapitzlist"/>
        <w:numPr>
          <w:ilvl w:val="0"/>
          <w:numId w:val="11"/>
        </w:numPr>
        <w:autoSpaceDE w:val="0"/>
        <w:autoSpaceDN w:val="0"/>
        <w:adjustRightInd w:val="0"/>
        <w:spacing w:after="120"/>
        <w:ind w:left="1134"/>
        <w:rPr>
          <w:sz w:val="22"/>
          <w:szCs w:val="22"/>
        </w:rPr>
      </w:pPr>
      <w:r w:rsidRPr="00097E5E">
        <w:rPr>
          <w:sz w:val="22"/>
          <w:szCs w:val="22"/>
        </w:rPr>
        <w:t>na uzysk mocy z modułów fotowoltaicznych w ciągu 25 lat minimum 80%,</w:t>
      </w:r>
    </w:p>
    <w:p w14:paraId="4E7602E0" w14:textId="5BAAE603" w:rsidR="00B461B0" w:rsidRPr="00097E5E" w:rsidRDefault="00B461B0" w:rsidP="00727DD5">
      <w:pPr>
        <w:pStyle w:val="Akapitzlist"/>
        <w:numPr>
          <w:ilvl w:val="0"/>
          <w:numId w:val="11"/>
        </w:numPr>
        <w:autoSpaceDE w:val="0"/>
        <w:autoSpaceDN w:val="0"/>
        <w:adjustRightInd w:val="0"/>
        <w:spacing w:after="120"/>
        <w:ind w:left="1134"/>
        <w:rPr>
          <w:sz w:val="22"/>
          <w:szCs w:val="22"/>
        </w:rPr>
      </w:pPr>
      <w:r w:rsidRPr="00097E5E">
        <w:rPr>
          <w:sz w:val="22"/>
          <w:szCs w:val="22"/>
        </w:rPr>
        <w:t xml:space="preserve">gwarancja na pozostałe urządzenia na co najmniej </w:t>
      </w:r>
      <w:r w:rsidR="00CE41A8" w:rsidRPr="00097E5E">
        <w:rPr>
          <w:sz w:val="22"/>
          <w:szCs w:val="22"/>
        </w:rPr>
        <w:t>5</w:t>
      </w:r>
      <w:r w:rsidRPr="00097E5E">
        <w:rPr>
          <w:sz w:val="22"/>
          <w:szCs w:val="22"/>
        </w:rPr>
        <w:t xml:space="preserve"> lat od daty odbioru </w:t>
      </w:r>
      <w:r w:rsidR="00BB4FC3" w:rsidRPr="00097E5E">
        <w:rPr>
          <w:sz w:val="22"/>
          <w:szCs w:val="22"/>
        </w:rPr>
        <w:t>końcowego</w:t>
      </w:r>
      <w:r w:rsidRPr="00097E5E">
        <w:rPr>
          <w:sz w:val="22"/>
          <w:szCs w:val="22"/>
        </w:rPr>
        <w:t>,</w:t>
      </w:r>
    </w:p>
    <w:p w14:paraId="4C0AA62E" w14:textId="77777777" w:rsidR="00EA6280" w:rsidRPr="00097E5E" w:rsidRDefault="00BB4FC3" w:rsidP="00727DD5">
      <w:pPr>
        <w:pStyle w:val="Akapitzlist"/>
        <w:numPr>
          <w:ilvl w:val="0"/>
          <w:numId w:val="11"/>
        </w:numPr>
        <w:autoSpaceDE w:val="0"/>
        <w:autoSpaceDN w:val="0"/>
        <w:adjustRightInd w:val="0"/>
        <w:spacing w:after="120"/>
        <w:ind w:left="1134"/>
        <w:rPr>
          <w:sz w:val="22"/>
          <w:szCs w:val="22"/>
        </w:rPr>
      </w:pPr>
      <w:r w:rsidRPr="00097E5E">
        <w:rPr>
          <w:sz w:val="22"/>
          <w:szCs w:val="22"/>
        </w:rPr>
        <w:t>posiadać</w:t>
      </w:r>
      <w:r w:rsidR="00B461B0" w:rsidRPr="00097E5E">
        <w:rPr>
          <w:sz w:val="22"/>
          <w:szCs w:val="22"/>
        </w:rPr>
        <w:t xml:space="preserve"> instrukcję obsługi i użytkowania w języku polskim.</w:t>
      </w:r>
    </w:p>
    <w:p w14:paraId="158B50F3" w14:textId="27C82872" w:rsidR="00B461B0" w:rsidRPr="00097E5E" w:rsidRDefault="00B461B0" w:rsidP="00850B6F">
      <w:pPr>
        <w:pStyle w:val="Akapitzlist"/>
        <w:numPr>
          <w:ilvl w:val="0"/>
          <w:numId w:val="4"/>
        </w:numPr>
        <w:autoSpaceDE w:val="0"/>
        <w:autoSpaceDN w:val="0"/>
        <w:adjustRightInd w:val="0"/>
        <w:spacing w:after="120"/>
        <w:rPr>
          <w:sz w:val="22"/>
          <w:szCs w:val="22"/>
        </w:rPr>
      </w:pPr>
      <w:r w:rsidRPr="00097E5E">
        <w:rPr>
          <w:sz w:val="22"/>
          <w:szCs w:val="22"/>
        </w:rPr>
        <w:t xml:space="preserve">Instalacja musi </w:t>
      </w:r>
      <w:r w:rsidR="00BB4FC3" w:rsidRPr="00097E5E">
        <w:rPr>
          <w:sz w:val="22"/>
          <w:szCs w:val="22"/>
        </w:rPr>
        <w:t>posiadać</w:t>
      </w:r>
      <w:r w:rsidRPr="00097E5E">
        <w:rPr>
          <w:sz w:val="22"/>
          <w:szCs w:val="22"/>
        </w:rPr>
        <w:t xml:space="preserve"> rękojmię wykonawcy instalacji na co najmniej </w:t>
      </w:r>
      <w:r w:rsidR="00CE41A8" w:rsidRPr="00097E5E">
        <w:rPr>
          <w:sz w:val="22"/>
          <w:szCs w:val="22"/>
        </w:rPr>
        <w:t>5</w:t>
      </w:r>
      <w:r w:rsidRPr="00097E5E">
        <w:rPr>
          <w:sz w:val="22"/>
          <w:szCs w:val="22"/>
        </w:rPr>
        <w:t xml:space="preserve"> lat od daty odbioru</w:t>
      </w:r>
      <w:r w:rsidR="00BB4FC3" w:rsidRPr="00097E5E">
        <w:rPr>
          <w:sz w:val="22"/>
          <w:szCs w:val="22"/>
        </w:rPr>
        <w:t xml:space="preserve"> końcowego</w:t>
      </w:r>
      <w:r w:rsidRPr="00097E5E">
        <w:rPr>
          <w:sz w:val="22"/>
          <w:szCs w:val="22"/>
        </w:rPr>
        <w:t>.</w:t>
      </w:r>
    </w:p>
    <w:p w14:paraId="71FDA7DD" w14:textId="77777777" w:rsidR="00356A30" w:rsidRPr="00097E5E" w:rsidRDefault="00356A30" w:rsidP="00563236">
      <w:pPr>
        <w:autoSpaceDE w:val="0"/>
        <w:autoSpaceDN w:val="0"/>
        <w:adjustRightInd w:val="0"/>
        <w:spacing w:after="0" w:line="240" w:lineRule="auto"/>
        <w:jc w:val="both"/>
        <w:rPr>
          <w:rFonts w:ascii="Times New Roman" w:hAnsi="Times New Roman" w:cs="Times New Roman"/>
        </w:rPr>
      </w:pPr>
    </w:p>
    <w:p w14:paraId="0D1D9C65" w14:textId="11B9EA2B" w:rsidR="00E027C4" w:rsidRPr="00097E5E" w:rsidRDefault="00C020A1" w:rsidP="00BB4FC3">
      <w:pPr>
        <w:autoSpaceDE w:val="0"/>
        <w:autoSpaceDN w:val="0"/>
        <w:adjustRightInd w:val="0"/>
        <w:spacing w:after="0" w:line="240" w:lineRule="auto"/>
        <w:rPr>
          <w:rFonts w:ascii="Times New Roman" w:hAnsi="Times New Roman" w:cs="Times New Roman"/>
          <w:b/>
          <w:bCs/>
        </w:rPr>
      </w:pPr>
      <w:r w:rsidRPr="00097E5E">
        <w:rPr>
          <w:rFonts w:ascii="Times New Roman" w:hAnsi="Times New Roman" w:cs="Times New Roman"/>
          <w:b/>
          <w:bCs/>
        </w:rPr>
        <w:t>B</w:t>
      </w:r>
      <w:r w:rsidR="00356A30" w:rsidRPr="00097E5E">
        <w:rPr>
          <w:rFonts w:ascii="Times New Roman" w:hAnsi="Times New Roman" w:cs="Times New Roman"/>
          <w:b/>
          <w:bCs/>
        </w:rPr>
        <w:t xml:space="preserve">. </w:t>
      </w:r>
      <w:r w:rsidR="008007B6" w:rsidRPr="00097E5E">
        <w:rPr>
          <w:rFonts w:ascii="Times New Roman" w:hAnsi="Times New Roman" w:cs="Times New Roman"/>
          <w:b/>
          <w:bCs/>
        </w:rPr>
        <w:t>KOSZTY KWALIFIKOWALNE:</w:t>
      </w:r>
    </w:p>
    <w:p w14:paraId="00393E6C" w14:textId="77777777" w:rsidR="00356A30" w:rsidRPr="00097E5E" w:rsidRDefault="00356A30" w:rsidP="00BB4FC3">
      <w:pPr>
        <w:autoSpaceDE w:val="0"/>
        <w:autoSpaceDN w:val="0"/>
        <w:adjustRightInd w:val="0"/>
        <w:spacing w:after="0" w:line="240" w:lineRule="auto"/>
        <w:rPr>
          <w:rFonts w:ascii="Times New Roman" w:hAnsi="Times New Roman" w:cs="Times New Roman"/>
        </w:rPr>
      </w:pPr>
    </w:p>
    <w:p w14:paraId="1DED4FB1" w14:textId="6E5119B5" w:rsidR="00356A30" w:rsidRPr="00BE2926" w:rsidRDefault="00356A30" w:rsidP="00356A30">
      <w:pPr>
        <w:jc w:val="both"/>
        <w:rPr>
          <w:rFonts w:ascii="Times New Roman" w:hAnsi="Times New Roman" w:cs="Times New Roman"/>
        </w:rPr>
      </w:pPr>
      <w:r w:rsidRPr="00097E5E">
        <w:rPr>
          <w:rFonts w:ascii="Times New Roman" w:hAnsi="Times New Roman" w:cs="Times New Roman"/>
        </w:rPr>
        <w:t xml:space="preserve">Do katalogu kosztów kwalifikowalnych można zaliczyć </w:t>
      </w:r>
      <w:r w:rsidRPr="00BE2926">
        <w:rPr>
          <w:rFonts w:ascii="Times New Roman" w:hAnsi="Times New Roman" w:cs="Times New Roman"/>
        </w:rPr>
        <w:t>wyłącznie następujące wydatki</w:t>
      </w:r>
      <w:r w:rsidR="008007B6" w:rsidRPr="00BE2926">
        <w:rPr>
          <w:rFonts w:ascii="Times New Roman" w:hAnsi="Times New Roman" w:cs="Times New Roman"/>
        </w:rPr>
        <w:t>:</w:t>
      </w:r>
    </w:p>
    <w:p w14:paraId="640BC2BD" w14:textId="65284FD8" w:rsidR="00356A30" w:rsidRPr="00097E5E" w:rsidRDefault="00356A30" w:rsidP="00356A30">
      <w:pPr>
        <w:jc w:val="both"/>
        <w:rPr>
          <w:rFonts w:ascii="Times New Roman" w:hAnsi="Times New Roman" w:cs="Times New Roman"/>
          <w:strike/>
        </w:rPr>
      </w:pPr>
      <w:r w:rsidRPr="00097E5E">
        <w:rPr>
          <w:rFonts w:ascii="Times New Roman" w:hAnsi="Times New Roman" w:cs="Times New Roman"/>
        </w:rPr>
        <w:t>1. Zakup i montaż urządzeń produkujących energię elektryczną z promieniowania słonecznego (instalacja fotowoltaiczna)</w:t>
      </w:r>
      <w:r w:rsidR="00C020A1" w:rsidRPr="00097E5E">
        <w:rPr>
          <w:rFonts w:ascii="Times New Roman" w:hAnsi="Times New Roman" w:cs="Times New Roman"/>
        </w:rPr>
        <w:t>.</w:t>
      </w:r>
    </w:p>
    <w:p w14:paraId="323AA8E6" w14:textId="40538733" w:rsidR="00356A30" w:rsidRPr="00097E5E" w:rsidRDefault="00356A30" w:rsidP="00356A30">
      <w:pPr>
        <w:jc w:val="both"/>
        <w:rPr>
          <w:rFonts w:ascii="Times New Roman" w:hAnsi="Times New Roman" w:cs="Times New Roman"/>
          <w:strike/>
        </w:rPr>
      </w:pPr>
      <w:r w:rsidRPr="00097E5E">
        <w:rPr>
          <w:rFonts w:ascii="Times New Roman" w:hAnsi="Times New Roman" w:cs="Times New Roman"/>
        </w:rPr>
        <w:t>2. Przyłączenie instalacji f</w:t>
      </w:r>
      <w:r w:rsidR="00C020A1" w:rsidRPr="00097E5E">
        <w:rPr>
          <w:rFonts w:ascii="Times New Roman" w:hAnsi="Times New Roman" w:cs="Times New Roman"/>
        </w:rPr>
        <w:t>otowoltaicznej do sieci budynku.</w:t>
      </w:r>
    </w:p>
    <w:p w14:paraId="0F6E4A09" w14:textId="26F12C99" w:rsidR="00356A30" w:rsidRPr="00097E5E" w:rsidRDefault="00356A30" w:rsidP="00356A30">
      <w:pPr>
        <w:jc w:val="both"/>
        <w:rPr>
          <w:rFonts w:ascii="Times New Roman" w:hAnsi="Times New Roman" w:cs="Times New Roman"/>
        </w:rPr>
      </w:pPr>
      <w:r w:rsidRPr="00097E5E">
        <w:rPr>
          <w:rFonts w:ascii="Times New Roman" w:hAnsi="Times New Roman" w:cs="Times New Roman"/>
        </w:rPr>
        <w:t>3. Zakup urządzeń oraz oprogramowania służących do monitorowania urządzeń produkujących energię z OZE.</w:t>
      </w:r>
    </w:p>
    <w:p w14:paraId="151B03E1" w14:textId="77777777" w:rsidR="00356A30" w:rsidRPr="00097E5E" w:rsidRDefault="00356A30" w:rsidP="00356A30">
      <w:pPr>
        <w:jc w:val="both"/>
        <w:rPr>
          <w:rFonts w:ascii="Times New Roman" w:hAnsi="Times New Roman" w:cs="Times New Roman"/>
        </w:rPr>
      </w:pPr>
      <w:r w:rsidRPr="00097E5E">
        <w:rPr>
          <w:rFonts w:ascii="Times New Roman" w:hAnsi="Times New Roman" w:cs="Times New Roman"/>
        </w:rPr>
        <w:t>4. Wykonanie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097E5E" w:rsidRDefault="00356A30" w:rsidP="00850B6F">
      <w:pPr>
        <w:jc w:val="both"/>
        <w:rPr>
          <w:rFonts w:ascii="Times New Roman" w:hAnsi="Times New Roman" w:cs="Times New Roman"/>
        </w:rPr>
      </w:pPr>
      <w:r w:rsidRPr="00097E5E">
        <w:rPr>
          <w:rFonts w:ascii="Times New Roman" w:hAnsi="Times New Roman" w:cs="Times New Roman"/>
        </w:rPr>
        <w:t>5. Koszty przygotowawcze, w szczególności kosztami dokumentacji technicznej a także dokumentacji kosztorysowej.</w:t>
      </w:r>
    </w:p>
    <w:sectPr w:rsidR="00BB4FC3" w:rsidRPr="00097E5E" w:rsidSect="00CE41A8">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B975" w14:textId="77777777" w:rsidR="00237385" w:rsidRDefault="00237385" w:rsidP="00BB4FC3">
      <w:pPr>
        <w:spacing w:after="0" w:line="240" w:lineRule="auto"/>
      </w:pPr>
      <w:r>
        <w:separator/>
      </w:r>
    </w:p>
  </w:endnote>
  <w:endnote w:type="continuationSeparator" w:id="0">
    <w:p w14:paraId="0E95ED33" w14:textId="77777777" w:rsidR="00237385" w:rsidRDefault="00237385"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296917"/>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24537E">
          <w:rPr>
            <w:noProof/>
          </w:rPr>
          <w:t>1</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AFAC" w14:textId="77777777" w:rsidR="00237385" w:rsidRDefault="00237385" w:rsidP="00BB4FC3">
      <w:pPr>
        <w:spacing w:after="0" w:line="240" w:lineRule="auto"/>
      </w:pPr>
      <w:r>
        <w:separator/>
      </w:r>
    </w:p>
  </w:footnote>
  <w:footnote w:type="continuationSeparator" w:id="0">
    <w:p w14:paraId="55CC59E5" w14:textId="77777777" w:rsidR="00237385" w:rsidRDefault="00237385"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7CB9"/>
    <w:multiLevelType w:val="hybridMultilevel"/>
    <w:tmpl w:val="C1266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2"/>
  </w:num>
  <w:num w:numId="5">
    <w:abstractNumId w:val="4"/>
  </w:num>
  <w:num w:numId="6">
    <w:abstractNumId w:val="5"/>
  </w:num>
  <w:num w:numId="7">
    <w:abstractNumId w:val="3"/>
  </w:num>
  <w:num w:numId="8">
    <w:abstractNumId w:val="8"/>
  </w:num>
  <w:num w:numId="9">
    <w:abstractNumId w:val="0"/>
  </w:num>
  <w:num w:numId="10">
    <w:abstractNumId w:val="11"/>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B0"/>
    <w:rsid w:val="000065A5"/>
    <w:rsid w:val="000210AF"/>
    <w:rsid w:val="000241ED"/>
    <w:rsid w:val="00082150"/>
    <w:rsid w:val="00097E5E"/>
    <w:rsid w:val="000C0AD8"/>
    <w:rsid w:val="000F6878"/>
    <w:rsid w:val="001668A1"/>
    <w:rsid w:val="001B2091"/>
    <w:rsid w:val="00237385"/>
    <w:rsid w:val="0024537E"/>
    <w:rsid w:val="002B72C3"/>
    <w:rsid w:val="002D60A0"/>
    <w:rsid w:val="00356A30"/>
    <w:rsid w:val="003B1D7C"/>
    <w:rsid w:val="00487ABA"/>
    <w:rsid w:val="00563236"/>
    <w:rsid w:val="0059790A"/>
    <w:rsid w:val="005B05FC"/>
    <w:rsid w:val="005F175F"/>
    <w:rsid w:val="007010DB"/>
    <w:rsid w:val="00727DD5"/>
    <w:rsid w:val="007D3875"/>
    <w:rsid w:val="008007B6"/>
    <w:rsid w:val="00850B6F"/>
    <w:rsid w:val="008732BF"/>
    <w:rsid w:val="0089084F"/>
    <w:rsid w:val="00905A3C"/>
    <w:rsid w:val="0095058D"/>
    <w:rsid w:val="009C0A39"/>
    <w:rsid w:val="00A97D5A"/>
    <w:rsid w:val="00B461B0"/>
    <w:rsid w:val="00B57DCD"/>
    <w:rsid w:val="00BB4FC3"/>
    <w:rsid w:val="00BE2926"/>
    <w:rsid w:val="00C020A1"/>
    <w:rsid w:val="00CE41A8"/>
    <w:rsid w:val="00D92642"/>
    <w:rsid w:val="00DB40C6"/>
    <w:rsid w:val="00E027C4"/>
    <w:rsid w:val="00EA6280"/>
    <w:rsid w:val="00EF2C86"/>
    <w:rsid w:val="00F0388F"/>
    <w:rsid w:val="00F039A3"/>
    <w:rsid w:val="00F43235"/>
    <w:rsid w:val="00F84FB7"/>
    <w:rsid w:val="00FE0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0C0A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PC</cp:lastModifiedBy>
  <cp:revision>4</cp:revision>
  <cp:lastPrinted>2021-09-28T06:23:00Z</cp:lastPrinted>
  <dcterms:created xsi:type="dcterms:W3CDTF">2022-01-19T13:01:00Z</dcterms:created>
  <dcterms:modified xsi:type="dcterms:W3CDTF">2022-01-19T13:09:00Z</dcterms:modified>
</cp:coreProperties>
</file>